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7F" w:rsidRPr="00AC1CF1" w:rsidRDefault="003E05E6" w:rsidP="003E05E6">
      <w:pPr>
        <w:widowControl/>
        <w:snapToGrid w:val="0"/>
        <w:spacing w:line="360" w:lineRule="auto"/>
        <w:jc w:val="center"/>
        <w:rPr>
          <w:rFonts w:ascii="Times New Roman" w:eastAsia="標楷體" w:hAnsi="Times New Roman" w:cs="Times New Roman"/>
          <w:b/>
          <w:sz w:val="40"/>
          <w:szCs w:val="32"/>
        </w:rPr>
      </w:pPr>
      <w:r w:rsidRPr="00AC1CF1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「正確使用</w:t>
      </w:r>
      <w:r w:rsidRPr="00AC1CF1">
        <w:rPr>
          <w:rFonts w:ascii="Times New Roman" w:eastAsia="標楷體" w:hAnsi="Times New Roman" w:cs="Times New Roman" w:hint="eastAsia"/>
          <w:b/>
          <w:kern w:val="0"/>
          <w:sz w:val="32"/>
          <w:szCs w:val="24"/>
          <w:u w:val="single"/>
        </w:rPr>
        <w:t>指示藥及成藥</w:t>
      </w:r>
      <w:r w:rsidRPr="00AC1CF1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」</w:t>
      </w:r>
      <w:r w:rsidRPr="00AC1CF1">
        <w:rPr>
          <w:rFonts w:ascii="Times New Roman" w:eastAsia="標楷體" w:hAnsi="Times New Roman" w:cs="Times New Roman"/>
          <w:b/>
          <w:kern w:val="0"/>
          <w:sz w:val="32"/>
          <w:szCs w:val="24"/>
        </w:rPr>
        <w:t>3</w:t>
      </w:r>
      <w:r w:rsidRPr="00AC1CF1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要</w:t>
      </w:r>
      <w:r w:rsidRPr="00AC1CF1">
        <w:rPr>
          <w:rFonts w:ascii="Times New Roman" w:eastAsia="標楷體" w:hAnsi="Times New Roman" w:cs="Times New Roman"/>
          <w:b/>
          <w:kern w:val="0"/>
          <w:sz w:val="32"/>
          <w:szCs w:val="24"/>
        </w:rPr>
        <w:t>2</w:t>
      </w:r>
      <w:r w:rsidRPr="00AC1CF1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不</w:t>
      </w:r>
      <w:r w:rsidR="009D6366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(</w:t>
      </w:r>
      <w:r w:rsidR="009D6366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草稿</w:t>
      </w:r>
      <w:r w:rsidR="009D6366"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)</w:t>
      </w:r>
    </w:p>
    <w:p w:rsidR="0016481B" w:rsidRPr="00AC1CF1" w:rsidRDefault="0016481B" w:rsidP="0016481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要知風險</w:t>
      </w:r>
    </w:p>
    <w:p w:rsidR="0016481B" w:rsidRPr="00AC1CF1" w:rsidRDefault="0016481B" w:rsidP="0016481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我國藥品依使用風險性區分為三級，依序為處方藥、醫師藥師藥劑生指示藥品及成藥。藥品除了有療效外都存在使用的風險，如需要購買指示藥或成藥，應至有藥師執業的合法藥局購買，才有保障。</w:t>
      </w:r>
    </w:p>
    <w:p w:rsidR="0016481B" w:rsidRPr="00AC1CF1" w:rsidRDefault="0016481B" w:rsidP="0016481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要問藥師</w:t>
      </w:r>
    </w:p>
    <w:p w:rsidR="0016481B" w:rsidRPr="00AC1CF1" w:rsidRDefault="0016481B" w:rsidP="0016481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購買藥品時，應先清楚表達自己的症狀或需求，與藥師討論再購買適合的藥品，並主動諮詢藥師如何正確使用，以及應該注意的事項。</w:t>
      </w:r>
    </w:p>
    <w:p w:rsidR="0016481B" w:rsidRPr="00AC1CF1" w:rsidRDefault="0016481B" w:rsidP="0016481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要看標示</w:t>
      </w:r>
    </w:p>
    <w:p w:rsidR="0016481B" w:rsidRPr="00AC1CF1" w:rsidRDefault="0016481B" w:rsidP="0016481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應保留藥品的包裝外盒、說明書，每次使用藥品前應看清楚外盒或說明書上的適應症(用途)，是否符合目前症狀，再依照建議的用法、劑量使用，注意藥品的副作用、注意事項、有效期限及保存狀況。</w:t>
      </w:r>
    </w:p>
    <w:p w:rsidR="0016481B" w:rsidRPr="00AC1CF1" w:rsidRDefault="0016481B" w:rsidP="0016481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不過量</w:t>
      </w:r>
    </w:p>
    <w:p w:rsidR="0016481B" w:rsidRPr="00AC1CF1" w:rsidRDefault="0016481B" w:rsidP="0016481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不要自己調整藥品的使用次數或劑量，藥品過量使用會造成嚴重的傷害，應依照藥品外盒或說明書上建議的劑量及次數使用。</w:t>
      </w:r>
    </w:p>
    <w:p w:rsidR="0016481B" w:rsidRPr="00AC1CF1" w:rsidRDefault="0016481B" w:rsidP="0016481B">
      <w:pPr>
        <w:pStyle w:val="a3"/>
        <w:numPr>
          <w:ilvl w:val="0"/>
          <w:numId w:val="26"/>
        </w:numPr>
        <w:ind w:leftChars="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不長期</w:t>
      </w:r>
    </w:p>
    <w:p w:rsidR="0016481B" w:rsidRPr="00AC1CF1" w:rsidRDefault="0016481B" w:rsidP="0016481B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AC1CF1">
        <w:rPr>
          <w:rFonts w:ascii="標楷體" w:eastAsia="標楷體" w:hAnsi="標楷體" w:hint="eastAsia"/>
          <w:sz w:val="28"/>
          <w:szCs w:val="28"/>
        </w:rPr>
        <w:t>不建議長期自行使用藥局購買的藥品，應有專業的醫師或藥師定期評估才安全，如果</w:t>
      </w:r>
      <w:r w:rsidR="00CC175D" w:rsidRPr="00AC1CF1">
        <w:rPr>
          <w:rFonts w:ascii="標楷體" w:eastAsia="標楷體" w:hAnsi="標楷體" w:hint="eastAsia"/>
          <w:sz w:val="28"/>
          <w:szCs w:val="28"/>
        </w:rPr>
        <w:t>用藥期間發生任何身體不適的情形或</w:t>
      </w:r>
      <w:r w:rsidRPr="00AC1CF1">
        <w:rPr>
          <w:rFonts w:ascii="標楷體" w:eastAsia="標楷體" w:hAnsi="標楷體" w:hint="eastAsia"/>
          <w:sz w:val="28"/>
          <w:szCs w:val="28"/>
        </w:rPr>
        <w:t>症狀一直沒有改善應就醫治療。</w:t>
      </w:r>
    </w:p>
    <w:p w:rsidR="007E3B7A" w:rsidRPr="00AC1CF1" w:rsidRDefault="0084367F" w:rsidP="007E3B7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AC1CF1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:rsidR="002033BA" w:rsidRPr="00AC1CF1" w:rsidRDefault="002033BA" w:rsidP="008D4B37">
      <w:pPr>
        <w:adjustRightInd w:val="0"/>
        <w:snapToGrid w:val="0"/>
        <w:jc w:val="center"/>
        <w:outlineLvl w:val="0"/>
        <w:rPr>
          <w:rFonts w:ascii="Times New Roman" w:eastAsia="標楷體" w:hAnsi="Times New Roman" w:cs="Times New Roman"/>
          <w:b/>
          <w:sz w:val="32"/>
          <w:szCs w:val="32"/>
        </w:rPr>
      </w:pPr>
      <w:r w:rsidRPr="00AC1CF1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正確用藥五大核心能力口語化宣導教材</w:t>
      </w:r>
    </w:p>
    <w:p w:rsidR="002033BA" w:rsidRDefault="002033BA" w:rsidP="003E05E6">
      <w:pPr>
        <w:adjustRightInd w:val="0"/>
        <w:snapToGrid w:val="0"/>
        <w:spacing w:after="240"/>
        <w:jc w:val="center"/>
        <w:outlineLvl w:val="0"/>
        <w:rPr>
          <w:rFonts w:ascii="Times New Roman" w:eastAsia="標楷體" w:hAnsi="Times New Roman" w:cs="Times New Roman" w:hint="eastAsia"/>
          <w:b/>
          <w:sz w:val="32"/>
          <w:szCs w:val="32"/>
        </w:rPr>
      </w:pPr>
      <w:r w:rsidRPr="00AC1CF1">
        <w:rPr>
          <w:rFonts w:ascii="Times New Roman" w:eastAsia="標楷體" w:hAnsi="Times New Roman" w:cs="Times New Roman"/>
          <w:b/>
          <w:sz w:val="32"/>
          <w:szCs w:val="32"/>
        </w:rPr>
        <w:t>~~</w:t>
      </w:r>
      <w:r w:rsidRPr="00AC1CF1">
        <w:rPr>
          <w:rFonts w:ascii="Times New Roman" w:eastAsia="標楷體" w:hAnsi="Times New Roman" w:cs="Times New Roman"/>
          <w:b/>
          <w:sz w:val="32"/>
          <w:szCs w:val="32"/>
        </w:rPr>
        <w:t>正確使用指示藥與成藥</w:t>
      </w:r>
      <w:r w:rsidRPr="00AC1CF1">
        <w:rPr>
          <w:rFonts w:ascii="Times New Roman" w:eastAsia="標楷體" w:hAnsi="Times New Roman" w:cs="Times New Roman"/>
          <w:b/>
          <w:sz w:val="32"/>
          <w:szCs w:val="32"/>
        </w:rPr>
        <w:t>~~</w:t>
      </w:r>
    </w:p>
    <w:p w:rsidR="009D6366" w:rsidRPr="00AC1CF1" w:rsidRDefault="009D6366" w:rsidP="009D6366">
      <w:pPr>
        <w:adjustRightInd w:val="0"/>
        <w:snapToGrid w:val="0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(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草稿</w:t>
      </w:r>
      <w:r>
        <w:rPr>
          <w:rFonts w:ascii="Times New Roman" w:eastAsia="標楷體" w:hAnsi="Times New Roman" w:cs="Times New Roman" w:hint="eastAsia"/>
          <w:b/>
          <w:kern w:val="0"/>
          <w:sz w:val="32"/>
          <w:szCs w:val="24"/>
        </w:rPr>
        <w:t>)</w:t>
      </w:r>
    </w:p>
    <w:p w:rsidR="002033BA" w:rsidRPr="00AC1CF1" w:rsidRDefault="002033BA" w:rsidP="008D4B37">
      <w:pPr>
        <w:adjustRightInd w:val="0"/>
        <w:snapToGrid w:val="0"/>
        <w:jc w:val="center"/>
        <w:outlineLvl w:val="0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>藥</w:t>
      </w:r>
      <w:r w:rsidR="00882155" w:rsidRPr="00AC1CF1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品</w:t>
      </w: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>分三級</w:t>
      </w: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>用藥看標示</w:t>
      </w:r>
    </w:p>
    <w:p w:rsidR="002033BA" w:rsidRPr="00AC1CF1" w:rsidRDefault="002033BA" w:rsidP="003E05E6">
      <w:pPr>
        <w:adjustRightInd w:val="0"/>
        <w:snapToGrid w:val="0"/>
        <w:spacing w:after="240"/>
        <w:jc w:val="center"/>
        <w:outlineLvl w:val="0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>聰明買</w:t>
      </w: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</w:t>
      </w:r>
      <w:r w:rsidRPr="00AC1CF1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正確吃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4D0774" w:rsidRPr="00AC1CF1" w:rsidTr="003E05E6">
        <w:trPr>
          <w:trHeight w:val="454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4B37" w:rsidRPr="00AC1CF1" w:rsidRDefault="008D4B37" w:rsidP="004D077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能力</w:t>
            </w:r>
            <w:proofErr w:type="gramStart"/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一</w:t>
            </w:r>
            <w:proofErr w:type="gramEnd"/>
            <w:r w:rsidR="00852ACB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做身體的主人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237B1B" w:rsidRPr="00AC1CF1" w:rsidRDefault="008D4B37" w:rsidP="004D0774">
            <w:pPr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一般民眾在身體有輕微不適時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一般感冒、腸胃不適、疼痛等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</w:t>
            </w:r>
            <w:proofErr w:type="gramStart"/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常先以</w:t>
            </w:r>
            <w:proofErr w:type="gramEnd"/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藥局購買的指示藥</w:t>
            </w:r>
            <w:r w:rsidR="00B35EA2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或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成藥來緩解症狀</w:t>
            </w:r>
            <w:r w:rsidR="00EC048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WHO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世界衛生組織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提倡自我照護</w:t>
            </w:r>
            <w:r w:rsidR="00712E9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Self-Care</w:t>
            </w:r>
            <w:r w:rsidR="00712E9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，個人應對於自己的健康負起責任，而在使用藥</w:t>
            </w:r>
            <w:r w:rsidR="00963480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方面更應謹慎，</w:t>
            </w:r>
            <w:r w:rsidR="00963480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在醫師或藥師指示下使用才安全。</w:t>
            </w:r>
          </w:p>
          <w:p w:rsidR="00237B1B" w:rsidRPr="00AC1CF1" w:rsidRDefault="00D4514C" w:rsidP="004D0774">
            <w:pPr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我國藥</w:t>
            </w:r>
            <w:r w:rsidR="00B35EA2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品分級制度</w:t>
            </w:r>
            <w:r w:rsidR="00CC175D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是依照使用風險性高低</w:t>
            </w:r>
            <w:r w:rsidR="00F865A8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分成三級即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「處方藥、</w:t>
            </w:r>
            <w:r w:rsidR="00CC175D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醫師藥師藥劑生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指示藥</w:t>
            </w:r>
            <w:r w:rsidR="004D0774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（以下</w:t>
            </w:r>
            <w:r w:rsidR="00CC175D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簡稱指示藥</w:t>
            </w:r>
            <w:r w:rsidR="004D0774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、成藥」，了解藥</w:t>
            </w:r>
            <w:r w:rsidR="00963480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分級制度讓我們在使用上更安心，更是方便政府藥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管理。</w:t>
            </w:r>
          </w:p>
          <w:p w:rsidR="00237B1B" w:rsidRPr="00AC1CF1" w:rsidRDefault="00D4514C" w:rsidP="004D0774">
            <w:pPr>
              <w:pStyle w:val="a3"/>
              <w:numPr>
                <w:ilvl w:val="0"/>
                <w:numId w:val="41"/>
              </w:numPr>
              <w:snapToGrid w:val="0"/>
              <w:spacing w:line="360" w:lineRule="auto"/>
              <w:ind w:leftChars="0" w:left="851" w:hanging="425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「處方藥」：</w:t>
            </w:r>
            <w:r w:rsidR="00963480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由醫師</w:t>
            </w:r>
            <w:r w:rsidR="00963480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診斷、</w:t>
            </w:r>
            <w:r w:rsidR="00124BF2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需要醫師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處方</w:t>
            </w:r>
            <w:r w:rsidR="00124BF2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使用</w:t>
            </w:r>
          </w:p>
          <w:p w:rsidR="00237B1B" w:rsidRPr="00AC1CF1" w:rsidRDefault="006F66D2" w:rsidP="004D0774">
            <w:pPr>
              <w:pStyle w:val="a3"/>
              <w:snapToGrid w:val="0"/>
              <w:spacing w:line="360" w:lineRule="auto"/>
              <w:ind w:leftChars="0" w:left="85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使用的風險性相對較高，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必須經由醫師</w:t>
            </w:r>
            <w:r w:rsidR="00124BF2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診斷及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處方，才能由藥事人員調劑供應。例如高血壓、糖尿病用藥與抗生素等。</w:t>
            </w:r>
          </w:p>
          <w:p w:rsidR="00D65157" w:rsidRPr="00AC1CF1" w:rsidRDefault="00D4514C" w:rsidP="004D0774">
            <w:pPr>
              <w:pStyle w:val="a3"/>
              <w:numPr>
                <w:ilvl w:val="0"/>
                <w:numId w:val="41"/>
              </w:numPr>
              <w:snapToGrid w:val="0"/>
              <w:spacing w:line="360" w:lineRule="auto"/>
              <w:ind w:leftChars="0" w:left="851" w:hanging="425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「指示藥」：</w:t>
            </w:r>
            <w:r w:rsidR="00963480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藥性溫和，</w:t>
            </w:r>
            <w:proofErr w:type="gramStart"/>
            <w:r w:rsidR="00124BF2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不需藥醫師</w:t>
            </w:r>
            <w:proofErr w:type="gramEnd"/>
            <w:r w:rsidR="00124BF2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處方，但須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由醫師、藥師指示使用</w:t>
            </w:r>
          </w:p>
          <w:p w:rsidR="00D4514C" w:rsidRPr="00AC1CF1" w:rsidRDefault="006F66D2" w:rsidP="004D0774">
            <w:pPr>
              <w:pStyle w:val="a3"/>
              <w:snapToGrid w:val="0"/>
              <w:spacing w:line="360" w:lineRule="auto"/>
              <w:ind w:leftChars="0" w:left="851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使用的</w:t>
            </w:r>
            <w:proofErr w:type="gramStart"/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風險性較處方藥</w:t>
            </w:r>
            <w:proofErr w:type="gramEnd"/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低，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不需要醫師處方，但是須</w:t>
            </w:r>
            <w:r w:rsidR="00124BF2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醫師</w:t>
            </w:r>
            <w:r w:rsidR="00124BF2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藥師</w:t>
            </w:r>
            <w:r w:rsidR="00124BF2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等依症狀評估及指示後才可</w:t>
            </w:r>
            <w:r w:rsidR="00124BF2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購買使用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。例如多數的胃腸用藥與綜合感冒藥等。</w:t>
            </w:r>
          </w:p>
          <w:p w:rsidR="00D65157" w:rsidRPr="00AC1CF1" w:rsidRDefault="00D4514C" w:rsidP="004D0774">
            <w:pPr>
              <w:pStyle w:val="a3"/>
              <w:numPr>
                <w:ilvl w:val="0"/>
                <w:numId w:val="41"/>
              </w:numPr>
              <w:snapToGrid w:val="0"/>
              <w:spacing w:line="360" w:lineRule="auto"/>
              <w:ind w:leftChars="0" w:left="851" w:hanging="425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「成藥」：</w:t>
            </w:r>
            <w:r w:rsidR="00963480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藥性弱，作用緩和，</w:t>
            </w:r>
            <w:r w:rsidR="003E05E6"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民眾可以自行購買使用</w:t>
            </w:r>
          </w:p>
          <w:p w:rsidR="00D4514C" w:rsidRPr="00AC1CF1" w:rsidRDefault="006F66D2" w:rsidP="004D0774">
            <w:pPr>
              <w:pStyle w:val="a3"/>
              <w:snapToGrid w:val="0"/>
              <w:spacing w:line="360" w:lineRule="auto"/>
              <w:ind w:leftChars="0" w:left="851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使用的風險性較</w:t>
            </w:r>
            <w:proofErr w:type="gramStart"/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指示藥低</w:t>
            </w:r>
            <w:proofErr w:type="gramEnd"/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藥理作用緩和，不需要醫藥專業人員指示，但民眾使用前需閱讀藥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="00D4514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說明書與標示。</w:t>
            </w:r>
          </w:p>
          <w:p w:rsidR="00852ACB" w:rsidRPr="00AC1CF1" w:rsidRDefault="008D4B37" w:rsidP="004D0774">
            <w:pPr>
              <w:numPr>
                <w:ilvl w:val="0"/>
                <w:numId w:val="15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預防勝於治療</w:t>
            </w:r>
            <w:r w:rsidR="003E05E6" w:rsidRPr="00AC1CF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健康資訊多留意</w:t>
            </w:r>
          </w:p>
          <w:p w:rsidR="004D0774" w:rsidRPr="00AC1CF1" w:rsidRDefault="008D4B37" w:rsidP="004D0774">
            <w:pPr>
              <w:snapToGrid w:val="0"/>
              <w:spacing w:line="360" w:lineRule="auto"/>
              <w:ind w:leftChars="300" w:left="7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養成良好的生活習慣，平日能均衡營養飲食、規律作息、適當運動且保持良好心情就是預防疾病最佳良方。且多留意健康及正確用藥訊息，如健康講座、醫藥雜誌、衛生福利部</w:t>
            </w:r>
            <w:r w:rsidR="00EC048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、食品藥物管理署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網站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…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等，最好能</w:t>
            </w:r>
            <w:r w:rsidR="00EC048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主動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向專業醫療人員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如醫師、藥師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諮詢。</w:t>
            </w:r>
            <w:bookmarkStart w:id="0" w:name="_GoBack"/>
            <w:bookmarkEnd w:id="0"/>
          </w:p>
          <w:p w:rsidR="00D459E5" w:rsidRPr="00AC1CF1" w:rsidRDefault="008D4B37" w:rsidP="004D0774">
            <w:pPr>
              <w:pStyle w:val="a3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謹慎判斷再決定</w:t>
            </w:r>
            <w:r w:rsidR="003E05E6" w:rsidRPr="00AC1CF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來路不明不亂買</w:t>
            </w:r>
          </w:p>
          <w:p w:rsidR="008D4B37" w:rsidRPr="00AC1CF1" w:rsidRDefault="008D4B37" w:rsidP="004D0774">
            <w:pPr>
              <w:snapToGrid w:val="0"/>
              <w:spacing w:line="360" w:lineRule="auto"/>
              <w:ind w:leftChars="300"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對於獲得的健康及用藥資訊不能盡信，要謹慎判斷再決定。</w:t>
            </w:r>
            <w:r w:rsidR="0075458D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應</w:t>
            </w:r>
            <w:r w:rsidR="0075458D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知道</w:t>
            </w:r>
            <w:r w:rsidR="0075458D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藥</w:t>
            </w:r>
            <w:r w:rsidR="0075458D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品都存在</w:t>
            </w:r>
            <w:r w:rsidR="0075458D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副作用或使用的風險性</w:t>
            </w:r>
            <w:r w:rsidR="0075458D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，購買藥品應至有藥師執業之藥局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購買</w:t>
            </w:r>
            <w:r w:rsidR="0075458D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才安心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。務必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不買來路不明的</w:t>
            </w:r>
            <w:r w:rsidR="007C1B7C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，遵守「不聽、不信、不買、不吃、不推薦」原則。</w:t>
            </w:r>
          </w:p>
          <w:p w:rsidR="00D459E5" w:rsidRPr="00AC1CF1" w:rsidRDefault="008D4B37" w:rsidP="004D0774">
            <w:pPr>
              <w:pStyle w:val="a3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嚴重症狀應就醫</w:t>
            </w:r>
            <w:r w:rsidR="003E05E6" w:rsidRPr="00AC1CF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長期使用要評估</w:t>
            </w:r>
          </w:p>
          <w:p w:rsidR="008D4B37" w:rsidRPr="00AC1CF1" w:rsidRDefault="008D4B37" w:rsidP="004D0774">
            <w:pPr>
              <w:snapToGrid w:val="0"/>
              <w:spacing w:line="360" w:lineRule="auto"/>
              <w:ind w:leftChars="300"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使用藥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後要注意症狀是否有好轉，如果症狀變得更為嚴重，發生副作用或不良反應，如藥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過敏等症狀，應儘速就醫。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使用藥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時，無論是醫生開的或藥局購買的藥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  <w:t>都不建議長期自行使用，應有專業的醫師或藥師定期評估才安全。</w:t>
            </w:r>
          </w:p>
          <w:p w:rsidR="00D459E5" w:rsidRPr="00AC1CF1" w:rsidRDefault="008D4B37" w:rsidP="004D0774">
            <w:pPr>
              <w:pStyle w:val="a3"/>
              <w:numPr>
                <w:ilvl w:val="0"/>
                <w:numId w:val="15"/>
              </w:numPr>
              <w:snapToGrid w:val="0"/>
              <w:spacing w:line="360" w:lineRule="auto"/>
              <w:ind w:leftChars="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詢問醫師或藥師</w:t>
            </w:r>
            <w:r w:rsidR="004D0774" w:rsidRPr="00AC1CF1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安全用藥有保障</w:t>
            </w:r>
          </w:p>
          <w:p w:rsidR="004666AF" w:rsidRPr="00AC1CF1" w:rsidRDefault="008D4B37" w:rsidP="004D0774">
            <w:pPr>
              <w:snapToGrid w:val="0"/>
              <w:spacing w:line="360" w:lineRule="auto"/>
              <w:ind w:leftChars="300" w:left="7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每個人的症狀、體質都有所不同，不要使用別人的藥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。在就醫或購買藥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時應針對症狀向醫師、藥師詢問及討論，選擇適合目前需求的藥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來使用，並詢問藥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使用的注意事項。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4B37" w:rsidRPr="00AC1CF1" w:rsidRDefault="008D4B37" w:rsidP="004D077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能力二</w:t>
            </w:r>
            <w:r w:rsidR="00852ACB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清楚表達自己的身體狀況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D4B37" w:rsidRPr="00AC1CF1" w:rsidRDefault="008D4B37" w:rsidP="004D077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到藥局購買藥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或看病時，要</w:t>
            </w:r>
            <w:r w:rsidR="0009551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向藥師或醫師說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清楚自己的身體狀況：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目前不舒服症狀、何時開始？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有沒有對藥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或食物過敏，</w:t>
            </w:r>
            <w:r w:rsidR="00B35EA2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是否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有喝酒或特殊飲食習慣</w:t>
            </w:r>
            <w:r w:rsidR="00B35EA2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?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有沒有其他疾病，例如心血管、腸胃道、肝臟、腎臟或家族遺傳疾病。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目前正在使用的藥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，包括西藥、中藥及保健食品等。</w:t>
            </w:r>
          </w:p>
          <w:p w:rsidR="008D4B37" w:rsidRPr="00AC1CF1" w:rsidRDefault="00B35EA2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從事</w:t>
            </w:r>
            <w:r w:rsidR="008D4B3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開車或操作機械等需要專心的工作。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女性需告知是否懷孕、正準備懷孕或正在哺餵母乳。</w:t>
            </w:r>
          </w:p>
          <w:p w:rsidR="008D4B37" w:rsidRPr="00AC1CF1" w:rsidRDefault="008D4B37" w:rsidP="004D0774">
            <w:pPr>
              <w:numPr>
                <w:ilvl w:val="0"/>
                <w:numId w:val="42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為避免重複用藥，若已經有先行服用其他藥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，應主動告知。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4B37" w:rsidRPr="00AC1CF1" w:rsidRDefault="008D4B37" w:rsidP="004D077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能力三</w:t>
            </w:r>
            <w:r w:rsidR="00852ACB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看清楚藥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標示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D4B37" w:rsidRPr="00AC1CF1" w:rsidRDefault="008D4B37" w:rsidP="004D077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購買及使用藥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前，應先看清藥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外盒說明、說明書及注意下列事項：</w:t>
            </w:r>
          </w:p>
          <w:p w:rsidR="00D65157" w:rsidRPr="00AC1CF1" w:rsidRDefault="00F865A8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藥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分級：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確認藥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是屬於指示藥或成藥，而處方藥</w:t>
            </w:r>
            <w:r w:rsidR="00132829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必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須由醫</w:t>
            </w:r>
            <w:r w:rsidR="00132829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師處方才可使用。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名稱</w:t>
            </w:r>
            <w:r w:rsidR="00B35EA2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及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外觀：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確認藥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的外觀形狀、顏色等，是否與外盒或藥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說明書描述的一樣，外包裝是否完整。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用途</w:t>
            </w:r>
            <w:r w:rsidR="003E05E6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適應症</w:t>
            </w:r>
            <w:r w:rsidR="003E05E6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的用途與自己的疾病或症狀是否相符。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使用方法：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服藥前應按照醫師或藥師指示，或印在外盒、藥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說明書的使用方法，包括服藥時間、每次劑量與服用方法。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注意事項、副作用或警語：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看清楚外盒、藥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說明書上寫的注意事項，了解藥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使用後可能產生的副作用或警語。</w:t>
            </w:r>
            <w:r w:rsidR="00805788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在藥品使用完之前，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應保留藥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外盒及說明書</w:t>
            </w:r>
            <w:r w:rsidR="00291F4F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</w:t>
            </w:r>
            <w:r w:rsidR="00805788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方便查閱使用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D65157" w:rsidRPr="00AC1CF1" w:rsidRDefault="00805788" w:rsidP="004D0774">
            <w:pPr>
              <w:pStyle w:val="a3"/>
              <w:numPr>
                <w:ilvl w:val="0"/>
                <w:numId w:val="43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不要服用超過醫師</w:t>
            </w: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藥師指示或</w:t>
            </w: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藥</w:t>
            </w:r>
            <w:r w:rsidR="008D4B37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品標示的使用劑量，服藥後有不適症狀或過敏反應（例如皮膚紅疹、嘴唇或眼皮水腫、呼吸困難等）應立即停藥就醫。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3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患有肝、腎疾病或其他重大疾病之患者，服用藥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前，應先請教醫師或藥師。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3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同時使用多種藥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會增加產生副作用及交互作用的風險，尤其是合併使用同類或同成分的藥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291F4F" w:rsidRPr="00AC1CF1" w:rsidRDefault="008D4B37" w:rsidP="004D0774">
            <w:pPr>
              <w:pStyle w:val="a3"/>
              <w:numPr>
                <w:ilvl w:val="0"/>
                <w:numId w:val="43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除非有醫師指示或藥師建議，</w:t>
            </w:r>
            <w:r w:rsidR="00EC0487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歲以下兒童</w:t>
            </w:r>
            <w:r w:rsidR="003E05E6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</w:t>
            </w:r>
            <w:r w:rsidR="00095517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感冒藥則是</w:t>
            </w:r>
            <w:r w:rsidR="00095517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095517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歲以下</w:t>
            </w:r>
            <w:r w:rsidR="003E05E6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，不建議自行使用藥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291F4F" w:rsidRPr="00AC1CF1" w:rsidRDefault="00291F4F" w:rsidP="004D0774">
            <w:pPr>
              <w:pStyle w:val="a3"/>
              <w:numPr>
                <w:ilvl w:val="0"/>
                <w:numId w:val="43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若持續使用指示藥及成藥</w:t>
            </w: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天症狀都未好轉，則應儘速就醫。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保存期限和方法：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請注意保存方法，不要隨意將外盒丟棄，一般建議保存於乾燥通風陰涼處，不要放在陽光下，或是放在浴室、廚房等濕熱的地方。</w:t>
            </w:r>
          </w:p>
          <w:p w:rsidR="00B35EA2" w:rsidRPr="00AC1CF1" w:rsidRDefault="00B35EA2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家中過期、不需使用的藥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處理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：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若已過期、變質或變色的藥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不要使用，應</w:t>
            </w: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以廢藥處理</w:t>
            </w:r>
            <w:proofErr w:type="gramEnd"/>
            <w:r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流程處理。</w:t>
            </w:r>
          </w:p>
          <w:p w:rsidR="008D4B37" w:rsidRPr="00AC1CF1" w:rsidRDefault="008D4B37" w:rsidP="004D0774">
            <w:pPr>
              <w:numPr>
                <w:ilvl w:val="0"/>
                <w:numId w:val="16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除留意外盒上的用藥注意事項外，並記得索取醫療院所或藥局名片，以利諮詢。為確保核准字號的真實性，可上衛生福利部食品藥物管理署建置之「西藥、醫療器材、含藥化</w:t>
            </w:r>
            <w:proofErr w:type="gramStart"/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粧</w:t>
            </w:r>
            <w:proofErr w:type="gramEnd"/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品許可證查詢系統」，查詢藥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核准字號。</w:t>
            </w:r>
          </w:p>
          <w:p w:rsidR="008D4B37" w:rsidRPr="00AC1CF1" w:rsidRDefault="008D4B37" w:rsidP="004D0774">
            <w:pPr>
              <w:snapToGrid w:val="0"/>
              <w:spacing w:line="360" w:lineRule="auto"/>
              <w:ind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網址：</w:t>
            </w:r>
            <w:r w:rsidR="00E779D2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http://www.fda.gov.tw/MLMS/H0001.aspx</w:t>
            </w:r>
          </w:p>
          <w:p w:rsidR="004D0774" w:rsidRPr="00AC1CF1" w:rsidRDefault="008D4B37" w:rsidP="004D0774">
            <w:pPr>
              <w:snapToGrid w:val="0"/>
              <w:spacing w:line="360" w:lineRule="auto"/>
              <w:ind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路徑：首頁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業務專區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右方「</w:t>
            </w:r>
            <w:proofErr w:type="gramEnd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資訊查詢」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藥物許可證暨相關資料查詢作業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→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西藥、醫療器材、含藥化</w:t>
            </w: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粧</w:t>
            </w:r>
            <w:proofErr w:type="gramEnd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品許可證查詢。</w:t>
            </w:r>
          </w:p>
          <w:p w:rsidR="004D0774" w:rsidRPr="00AC1CF1" w:rsidRDefault="004D0774" w:rsidP="004D0774">
            <w:pPr>
              <w:snapToGrid w:val="0"/>
              <w:ind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D0774" w:rsidRPr="00AC1CF1" w:rsidRDefault="004D0774" w:rsidP="004D0774">
            <w:pPr>
              <w:snapToGrid w:val="0"/>
              <w:ind w:left="7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4B37" w:rsidRPr="00AC1CF1" w:rsidRDefault="008D4B37" w:rsidP="004D077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能力四</w:t>
            </w:r>
            <w:r w:rsidR="00852ACB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清楚用藥方法、時間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8D4B37" w:rsidRPr="00AC1CF1" w:rsidRDefault="008D4B37" w:rsidP="004D0774">
            <w:pPr>
              <w:snapToGrid w:val="0"/>
              <w:spacing w:line="360" w:lineRule="auto"/>
              <w:ind w:firstLineChars="200" w:firstLine="56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服用藥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應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按醫師或藥師指示並詳讀外盒、藥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說明書標示的用法、用量及服用時間。</w:t>
            </w:r>
          </w:p>
          <w:p w:rsidR="008D4B37" w:rsidRPr="00AC1CF1" w:rsidRDefault="008D4B37" w:rsidP="004D0774">
            <w:pPr>
              <w:numPr>
                <w:ilvl w:val="0"/>
                <w:numId w:val="30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服用藥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時，應了解藥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適應症，以及服用方法及時間，如有特殊服用方法，請向醫師、藥師確認清楚。口服藥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應以適量的溫開水服用（不要以葡萄柚汁、牛奶、茶、果汁、咖啡等飲料搭配服用）。藥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各項劑型的使用方法：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8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發泡劑：</w:t>
            </w: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需溶水</w:t>
            </w:r>
            <w:proofErr w:type="gramEnd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後服用。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8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懸液劑</w:t>
            </w:r>
            <w:proofErr w:type="gramEnd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：服用前</w:t>
            </w:r>
            <w:proofErr w:type="gramStart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先振搖均勻</w:t>
            </w:r>
            <w:proofErr w:type="gramEnd"/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，應使用所附量器取藥量</w:t>
            </w:r>
            <w:r w:rsidR="007C1B7C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，並依說明書之用法用量服用，勿將整瓶藥水一次飲用完畢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8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散劑及粒狀：成人應配溫開水並依指示服用；兒童服用藥粉則需倒入溫開水攪拌均勻、完全溶解後再依指示服用。</w:t>
            </w:r>
          </w:p>
          <w:p w:rsidR="008D4B37" w:rsidRPr="00AC1CF1" w:rsidRDefault="008D4B37" w:rsidP="004D0774">
            <w:pPr>
              <w:numPr>
                <w:ilvl w:val="0"/>
                <w:numId w:val="30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服用時間，如：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9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一天三次：三餐飯後。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9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一天四次：三餐飯後與睡前。</w:t>
            </w:r>
          </w:p>
          <w:p w:rsidR="008D4B37" w:rsidRPr="00AC1CF1" w:rsidRDefault="008D4B37" w:rsidP="004D0774">
            <w:pPr>
              <w:pStyle w:val="a3"/>
              <w:numPr>
                <w:ilvl w:val="0"/>
                <w:numId w:val="49"/>
              </w:numPr>
              <w:snapToGrid w:val="0"/>
              <w:spacing w:line="360" w:lineRule="auto"/>
              <w:ind w:leftChars="0" w:left="993" w:hanging="70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如有特殊使用方法及劑量請詢問醫師或藥師。</w:t>
            </w:r>
          </w:p>
          <w:p w:rsidR="00095517" w:rsidRPr="00AC1CF1" w:rsidRDefault="00095517" w:rsidP="004D0774">
            <w:pPr>
              <w:numPr>
                <w:ilvl w:val="0"/>
                <w:numId w:val="30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外用皮膚製劑：請均勻塗抹於患部，勿大面積塗抹</w:t>
            </w:r>
            <w:r w:rsidR="002B3CB4"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</w:tr>
      <w:tr w:rsidR="004D0774" w:rsidRPr="00AC1CF1" w:rsidTr="003E05E6">
        <w:trPr>
          <w:trHeight w:val="454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4B37" w:rsidRPr="00AC1CF1" w:rsidRDefault="008D4B37" w:rsidP="004D0774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能力五</w:t>
            </w:r>
            <w:r w:rsidR="00882155" w:rsidRPr="00AC1CF1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 xml:space="preserve">　</w:t>
            </w:r>
            <w:r w:rsidRPr="00AC1CF1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與醫師、藥師作朋友</w:t>
            </w:r>
          </w:p>
        </w:tc>
      </w:tr>
      <w:tr w:rsidR="004D0774" w:rsidRPr="004D0774" w:rsidTr="003E05E6">
        <w:trPr>
          <w:trHeight w:val="454"/>
          <w:jc w:val="center"/>
        </w:trPr>
        <w:tc>
          <w:tcPr>
            <w:tcW w:w="5000" w:type="pct"/>
            <w:vAlign w:val="center"/>
          </w:tcPr>
          <w:p w:rsidR="008D4B37" w:rsidRPr="00AC1CF1" w:rsidRDefault="008D4B37" w:rsidP="004D0774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生病找醫師，用藥找藥師</w:t>
            </w:r>
            <w:r w:rsidRPr="00AC1CF1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  <w:p w:rsidR="008D4B37" w:rsidRPr="00AC1CF1" w:rsidRDefault="00291F4F" w:rsidP="004D0774">
            <w:pPr>
              <w:numPr>
                <w:ilvl w:val="0"/>
                <w:numId w:val="33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平日多留意生活圈附近可以使用的醫療資源</w:t>
            </w:r>
            <w:r w:rsidR="004D077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如醫院、診所、藥局等</w:t>
            </w:r>
            <w:r w:rsidR="004D077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位置、聯絡方式及如何運用</w:t>
            </w:r>
            <w:r w:rsidR="008D4B3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，最好能找尋適合自己的家庭醫師、家庭藥師做為健康顧問，可將醫師或藥師</w:t>
            </w:r>
            <w:r w:rsidR="004D077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醫院或藥局</w:t>
            </w:r>
            <w:r w:rsidR="004D0774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="008D4B37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諮詢電話紀錄在自己的電話簿，以方便日後諮詢。</w:t>
            </w:r>
          </w:p>
          <w:p w:rsidR="008D4B37" w:rsidRPr="00AC1CF1" w:rsidRDefault="008D4B37" w:rsidP="004D0774">
            <w:pPr>
              <w:numPr>
                <w:ilvl w:val="0"/>
                <w:numId w:val="33"/>
              </w:num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同時服用多種藥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含中藥、保健食品</w:t>
            </w:r>
            <w:r w:rsidR="003E05E6" w:rsidRPr="00AC1CF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可能會發生交互作用的風險，例如綜合感冒藥</w:t>
            </w:r>
            <w:proofErr w:type="gramStart"/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併</w:t>
            </w:r>
            <w:proofErr w:type="gramEnd"/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用預防血栓藥</w:t>
            </w:r>
            <w:r w:rsidR="00882155" w:rsidRPr="00AC1CF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品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和非類固醇消炎止痛藥，可能會增加出血的風險，因此用藥前諮詢醫師或藥師是最好的辦法，有任何醫藥疑難問題也可撥打</w:t>
            </w:r>
            <w:r w:rsidR="002B3CB4"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前</w:t>
            </w:r>
            <w:r w:rsidRPr="00AC1CF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述諮詢電話。</w:t>
            </w:r>
          </w:p>
        </w:tc>
      </w:tr>
    </w:tbl>
    <w:p w:rsidR="009E7A6B" w:rsidRPr="004D0774" w:rsidRDefault="009E7A6B">
      <w:pPr>
        <w:rPr>
          <w:rFonts w:ascii="Times New Roman" w:eastAsia="標楷體" w:hAnsi="Times New Roman" w:cs="Times New Roman"/>
        </w:rPr>
      </w:pPr>
    </w:p>
    <w:sectPr w:rsidR="009E7A6B" w:rsidRPr="004D0774" w:rsidSect="004666AF">
      <w:footerReference w:type="default" r:id="rId9"/>
      <w:type w:val="oddPage"/>
      <w:pgSz w:w="11906" w:h="16838"/>
      <w:pgMar w:top="1134" w:right="851" w:bottom="1134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D7A" w:rsidRDefault="000D6D7A" w:rsidP="008D4B37">
      <w:r>
        <w:separator/>
      </w:r>
    </w:p>
  </w:endnote>
  <w:endnote w:type="continuationSeparator" w:id="0">
    <w:p w:rsidR="000D6D7A" w:rsidRDefault="000D6D7A" w:rsidP="008D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B37" w:rsidRPr="008D4B37" w:rsidRDefault="008D4B37" w:rsidP="004666A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D7A" w:rsidRDefault="000D6D7A" w:rsidP="008D4B37">
      <w:r>
        <w:separator/>
      </w:r>
    </w:p>
  </w:footnote>
  <w:footnote w:type="continuationSeparator" w:id="0">
    <w:p w:rsidR="000D6D7A" w:rsidRDefault="000D6D7A" w:rsidP="008D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19A5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">
    <w:nsid w:val="039A69F1"/>
    <w:multiLevelType w:val="hybridMultilevel"/>
    <w:tmpl w:val="1A5A6B30"/>
    <w:lvl w:ilvl="0" w:tplc="73D29BDA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966D84"/>
    <w:multiLevelType w:val="hybridMultilevel"/>
    <w:tmpl w:val="62F00DE4"/>
    <w:lvl w:ilvl="0" w:tplc="8EBC5F4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</w:rPr>
    </w:lvl>
    <w:lvl w:ilvl="1" w:tplc="D6004D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62164F7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FA5955"/>
    <w:multiLevelType w:val="hybridMultilevel"/>
    <w:tmpl w:val="DA00E05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09EE0FB7"/>
    <w:multiLevelType w:val="hybridMultilevel"/>
    <w:tmpl w:val="7F8A6FAC"/>
    <w:lvl w:ilvl="0" w:tplc="E40A134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87243E"/>
    <w:multiLevelType w:val="hybridMultilevel"/>
    <w:tmpl w:val="5BF42F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783A77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5AD40A7"/>
    <w:multiLevelType w:val="hybridMultilevel"/>
    <w:tmpl w:val="1A5A6B30"/>
    <w:lvl w:ilvl="0" w:tplc="73D29BDA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87909D3"/>
    <w:multiLevelType w:val="hybridMultilevel"/>
    <w:tmpl w:val="7F3A4A64"/>
    <w:lvl w:ilvl="0" w:tplc="6FE8A392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E414B62"/>
    <w:multiLevelType w:val="hybridMultilevel"/>
    <w:tmpl w:val="48E25482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3FF388B"/>
    <w:multiLevelType w:val="hybridMultilevel"/>
    <w:tmpl w:val="96CA30A0"/>
    <w:lvl w:ilvl="0" w:tplc="C4709AF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72E3C8A"/>
    <w:multiLevelType w:val="hybridMultilevel"/>
    <w:tmpl w:val="5BF42F4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906149A"/>
    <w:multiLevelType w:val="hybridMultilevel"/>
    <w:tmpl w:val="9508DD5C"/>
    <w:lvl w:ilvl="0" w:tplc="96B8C084">
      <w:start w:val="1"/>
      <w:numFmt w:val="decimal"/>
      <w:lvlText w:val="(%1)"/>
      <w:lvlJc w:val="left"/>
      <w:pPr>
        <w:ind w:left="1125" w:hanging="360"/>
      </w:pPr>
      <w:rPr>
        <w:rFonts w:ascii="Times New Roman" w:eastAsia="標楷體" w:hAnsi="Times New Roman" w:cs="Arial"/>
      </w:rPr>
    </w:lvl>
    <w:lvl w:ilvl="1" w:tplc="04090019" w:tentative="1">
      <w:start w:val="1"/>
      <w:numFmt w:val="ideographTraditional"/>
      <w:lvlText w:val="%2、"/>
      <w:lvlJc w:val="left"/>
      <w:pPr>
        <w:ind w:left="1725" w:hanging="480"/>
      </w:pPr>
    </w:lvl>
    <w:lvl w:ilvl="2" w:tplc="0409001B" w:tentative="1">
      <w:start w:val="1"/>
      <w:numFmt w:val="lowerRoman"/>
      <w:lvlText w:val="%3."/>
      <w:lvlJc w:val="right"/>
      <w:pPr>
        <w:ind w:left="2205" w:hanging="480"/>
      </w:pPr>
    </w:lvl>
    <w:lvl w:ilvl="3" w:tplc="0409000F" w:tentative="1">
      <w:start w:val="1"/>
      <w:numFmt w:val="decimal"/>
      <w:lvlText w:val="%4."/>
      <w:lvlJc w:val="left"/>
      <w:pPr>
        <w:ind w:left="26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5" w:hanging="480"/>
      </w:pPr>
    </w:lvl>
    <w:lvl w:ilvl="5" w:tplc="0409001B" w:tentative="1">
      <w:start w:val="1"/>
      <w:numFmt w:val="lowerRoman"/>
      <w:lvlText w:val="%6."/>
      <w:lvlJc w:val="right"/>
      <w:pPr>
        <w:ind w:left="3645" w:hanging="480"/>
      </w:pPr>
    </w:lvl>
    <w:lvl w:ilvl="6" w:tplc="0409000F" w:tentative="1">
      <w:start w:val="1"/>
      <w:numFmt w:val="decimal"/>
      <w:lvlText w:val="%7."/>
      <w:lvlJc w:val="left"/>
      <w:pPr>
        <w:ind w:left="41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5" w:hanging="480"/>
      </w:pPr>
    </w:lvl>
    <w:lvl w:ilvl="8" w:tplc="0409001B" w:tentative="1">
      <w:start w:val="1"/>
      <w:numFmt w:val="lowerRoman"/>
      <w:lvlText w:val="%9."/>
      <w:lvlJc w:val="right"/>
      <w:pPr>
        <w:ind w:left="5085" w:hanging="480"/>
      </w:pPr>
    </w:lvl>
  </w:abstractNum>
  <w:abstractNum w:abstractNumId="13">
    <w:nsid w:val="2E5C4355"/>
    <w:multiLevelType w:val="hybridMultilevel"/>
    <w:tmpl w:val="B60A36EE"/>
    <w:lvl w:ilvl="0" w:tplc="AE742236">
      <w:start w:val="1"/>
      <w:numFmt w:val="decimal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4">
    <w:nsid w:val="326B0229"/>
    <w:multiLevelType w:val="hybridMultilevel"/>
    <w:tmpl w:val="F5902766"/>
    <w:lvl w:ilvl="0" w:tplc="9072E6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46374DA"/>
    <w:multiLevelType w:val="hybridMultilevel"/>
    <w:tmpl w:val="34FAED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39471581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0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17">
    <w:nsid w:val="3A9B7926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18">
    <w:nsid w:val="3C7C22AC"/>
    <w:multiLevelType w:val="hybridMultilevel"/>
    <w:tmpl w:val="7F3A4A64"/>
    <w:lvl w:ilvl="0" w:tplc="6FE8A392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E866D43"/>
    <w:multiLevelType w:val="hybridMultilevel"/>
    <w:tmpl w:val="F8324606"/>
    <w:lvl w:ilvl="0" w:tplc="D6004D3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>
    <w:nsid w:val="42A623F1"/>
    <w:multiLevelType w:val="hybridMultilevel"/>
    <w:tmpl w:val="125A7C38"/>
    <w:lvl w:ilvl="0" w:tplc="C4709AF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2AB657B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22">
    <w:nsid w:val="43A97CD6"/>
    <w:multiLevelType w:val="hybridMultilevel"/>
    <w:tmpl w:val="6DFE41F4"/>
    <w:lvl w:ilvl="0" w:tplc="96B8C084">
      <w:start w:val="1"/>
      <w:numFmt w:val="decimal"/>
      <w:lvlText w:val="(%1)"/>
      <w:lvlJc w:val="left"/>
      <w:pPr>
        <w:ind w:left="1320" w:hanging="480"/>
      </w:pPr>
      <w:rPr>
        <w:rFonts w:ascii="Times New Roman" w:eastAsia="標楷體" w:hAnsi="Times New Roman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73E46EB"/>
    <w:multiLevelType w:val="hybridMultilevel"/>
    <w:tmpl w:val="7F8A6FAC"/>
    <w:lvl w:ilvl="0" w:tplc="E40A134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81D56E0"/>
    <w:multiLevelType w:val="hybridMultilevel"/>
    <w:tmpl w:val="7F8A6FAC"/>
    <w:lvl w:ilvl="0" w:tplc="E40A1342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9FD393B"/>
    <w:multiLevelType w:val="hybridMultilevel"/>
    <w:tmpl w:val="7F3A4A64"/>
    <w:lvl w:ilvl="0" w:tplc="6FE8A392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CB33975"/>
    <w:multiLevelType w:val="hybridMultilevel"/>
    <w:tmpl w:val="123CD744"/>
    <w:lvl w:ilvl="0" w:tplc="E40A13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0AF0028"/>
    <w:multiLevelType w:val="hybridMultilevel"/>
    <w:tmpl w:val="36F6E95C"/>
    <w:lvl w:ilvl="0" w:tplc="3500B7B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12B1A82"/>
    <w:multiLevelType w:val="hybridMultilevel"/>
    <w:tmpl w:val="ED0A3782"/>
    <w:lvl w:ilvl="0" w:tplc="C4709AF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1B83BE3"/>
    <w:multiLevelType w:val="hybridMultilevel"/>
    <w:tmpl w:val="F5902766"/>
    <w:lvl w:ilvl="0" w:tplc="9072E6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7EB2075"/>
    <w:multiLevelType w:val="hybridMultilevel"/>
    <w:tmpl w:val="96CA30A0"/>
    <w:lvl w:ilvl="0" w:tplc="C4709AF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CC53404"/>
    <w:multiLevelType w:val="hybridMultilevel"/>
    <w:tmpl w:val="CDC8ED7E"/>
    <w:lvl w:ilvl="0" w:tplc="BA86525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1B10221"/>
    <w:multiLevelType w:val="hybridMultilevel"/>
    <w:tmpl w:val="F5902766"/>
    <w:lvl w:ilvl="0" w:tplc="9072E63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3644C94"/>
    <w:multiLevelType w:val="hybridMultilevel"/>
    <w:tmpl w:val="0EB224D0"/>
    <w:lvl w:ilvl="0" w:tplc="9072E636">
      <w:start w:val="1"/>
      <w:numFmt w:val="taiwaneseCountingThousand"/>
      <w:lvlText w:val="（%1）"/>
      <w:lvlJc w:val="left"/>
      <w:pPr>
        <w:tabs>
          <w:tab w:val="num" w:pos="1353"/>
        </w:tabs>
        <w:ind w:left="1353" w:hanging="36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A164C8"/>
    <w:multiLevelType w:val="hybridMultilevel"/>
    <w:tmpl w:val="53925BE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4D16379"/>
    <w:multiLevelType w:val="hybridMultilevel"/>
    <w:tmpl w:val="125A7C38"/>
    <w:lvl w:ilvl="0" w:tplc="C4709AF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4F84995"/>
    <w:multiLevelType w:val="hybridMultilevel"/>
    <w:tmpl w:val="1A5A6B30"/>
    <w:lvl w:ilvl="0" w:tplc="73D29BDA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64FD026A"/>
    <w:multiLevelType w:val="hybridMultilevel"/>
    <w:tmpl w:val="749AA2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8">
    <w:nsid w:val="651B797D"/>
    <w:multiLevelType w:val="hybridMultilevel"/>
    <w:tmpl w:val="2A2096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61A489A"/>
    <w:multiLevelType w:val="hybridMultilevel"/>
    <w:tmpl w:val="9998CD2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0">
    <w:nsid w:val="67951B4B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5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11" w:hanging="480"/>
      </w:pPr>
    </w:lvl>
    <w:lvl w:ilvl="2" w:tplc="0409001B" w:tentative="1">
      <w:start w:val="1"/>
      <w:numFmt w:val="lowerRoman"/>
      <w:lvlText w:val="%3."/>
      <w:lvlJc w:val="right"/>
      <w:pPr>
        <w:ind w:left="2491" w:hanging="480"/>
      </w:pPr>
    </w:lvl>
    <w:lvl w:ilvl="3" w:tplc="0409000F" w:tentative="1">
      <w:start w:val="1"/>
      <w:numFmt w:val="decimal"/>
      <w:lvlText w:val="%4."/>
      <w:lvlJc w:val="left"/>
      <w:pPr>
        <w:ind w:left="29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51" w:hanging="480"/>
      </w:pPr>
    </w:lvl>
    <w:lvl w:ilvl="5" w:tplc="0409001B" w:tentative="1">
      <w:start w:val="1"/>
      <w:numFmt w:val="lowerRoman"/>
      <w:lvlText w:val="%6."/>
      <w:lvlJc w:val="right"/>
      <w:pPr>
        <w:ind w:left="3931" w:hanging="480"/>
      </w:pPr>
    </w:lvl>
    <w:lvl w:ilvl="6" w:tplc="0409000F" w:tentative="1">
      <w:start w:val="1"/>
      <w:numFmt w:val="decimal"/>
      <w:lvlText w:val="%7."/>
      <w:lvlJc w:val="left"/>
      <w:pPr>
        <w:ind w:left="44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91" w:hanging="480"/>
      </w:pPr>
    </w:lvl>
    <w:lvl w:ilvl="8" w:tplc="0409001B" w:tentative="1">
      <w:start w:val="1"/>
      <w:numFmt w:val="lowerRoman"/>
      <w:lvlText w:val="%9."/>
      <w:lvlJc w:val="right"/>
      <w:pPr>
        <w:ind w:left="5371" w:hanging="480"/>
      </w:pPr>
    </w:lvl>
  </w:abstractNum>
  <w:abstractNum w:abstractNumId="41">
    <w:nsid w:val="67A8624B"/>
    <w:multiLevelType w:val="hybridMultilevel"/>
    <w:tmpl w:val="3CAA98CC"/>
    <w:lvl w:ilvl="0" w:tplc="E40A1342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napToGrid/>
        <w:kern w:val="1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A242BCC"/>
    <w:multiLevelType w:val="hybridMultilevel"/>
    <w:tmpl w:val="F8324606"/>
    <w:lvl w:ilvl="0" w:tplc="D6004D32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3">
    <w:nsid w:val="6FD17F54"/>
    <w:multiLevelType w:val="hybridMultilevel"/>
    <w:tmpl w:val="6DFE41F4"/>
    <w:lvl w:ilvl="0" w:tplc="96B8C084">
      <w:start w:val="1"/>
      <w:numFmt w:val="decimal"/>
      <w:lvlText w:val="(%1)"/>
      <w:lvlJc w:val="left"/>
      <w:pPr>
        <w:ind w:left="1320" w:hanging="480"/>
      </w:pPr>
      <w:rPr>
        <w:rFonts w:ascii="Times New Roman" w:eastAsia="標楷體" w:hAnsi="Times New Roman" w:cs="Arial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4">
    <w:nsid w:val="72FB69CA"/>
    <w:multiLevelType w:val="hybridMultilevel"/>
    <w:tmpl w:val="1A5A6B30"/>
    <w:lvl w:ilvl="0" w:tplc="73D29BDA">
      <w:start w:val="1"/>
      <w:numFmt w:val="taiwaneseCountingThousand"/>
      <w:lvlText w:val="(%1)"/>
      <w:lvlJc w:val="left"/>
      <w:pPr>
        <w:ind w:left="1070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45">
    <w:nsid w:val="748B55AA"/>
    <w:multiLevelType w:val="hybridMultilevel"/>
    <w:tmpl w:val="303830FE"/>
    <w:lvl w:ilvl="0" w:tplc="06AA20AA">
      <w:start w:val="1"/>
      <w:numFmt w:val="decimal"/>
      <w:pStyle w:val="EndNoteBibliography"/>
      <w:lvlText w:val="%1."/>
      <w:lvlJc w:val="left"/>
      <w:pPr>
        <w:ind w:left="90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46">
    <w:nsid w:val="76380B51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0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1" w:hanging="480"/>
      </w:pPr>
    </w:lvl>
    <w:lvl w:ilvl="2" w:tplc="0409001B" w:tentative="1">
      <w:start w:val="1"/>
      <w:numFmt w:val="lowerRoman"/>
      <w:lvlText w:val="%3."/>
      <w:lvlJc w:val="right"/>
      <w:pPr>
        <w:ind w:left="2011" w:hanging="480"/>
      </w:pPr>
    </w:lvl>
    <w:lvl w:ilvl="3" w:tplc="0409000F" w:tentative="1">
      <w:start w:val="1"/>
      <w:numFmt w:val="decimal"/>
      <w:lvlText w:val="%4."/>
      <w:lvlJc w:val="left"/>
      <w:pPr>
        <w:ind w:left="24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1" w:hanging="480"/>
      </w:pPr>
    </w:lvl>
    <w:lvl w:ilvl="5" w:tplc="0409001B" w:tentative="1">
      <w:start w:val="1"/>
      <w:numFmt w:val="lowerRoman"/>
      <w:lvlText w:val="%6."/>
      <w:lvlJc w:val="right"/>
      <w:pPr>
        <w:ind w:left="3451" w:hanging="480"/>
      </w:pPr>
    </w:lvl>
    <w:lvl w:ilvl="6" w:tplc="0409000F" w:tentative="1">
      <w:start w:val="1"/>
      <w:numFmt w:val="decimal"/>
      <w:lvlText w:val="%7."/>
      <w:lvlJc w:val="left"/>
      <w:pPr>
        <w:ind w:left="39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1" w:hanging="480"/>
      </w:pPr>
    </w:lvl>
    <w:lvl w:ilvl="8" w:tplc="0409001B" w:tentative="1">
      <w:start w:val="1"/>
      <w:numFmt w:val="lowerRoman"/>
      <w:lvlText w:val="%9."/>
      <w:lvlJc w:val="right"/>
      <w:pPr>
        <w:ind w:left="4891" w:hanging="480"/>
      </w:pPr>
    </w:lvl>
  </w:abstractNum>
  <w:abstractNum w:abstractNumId="47">
    <w:nsid w:val="7C064A5D"/>
    <w:multiLevelType w:val="hybridMultilevel"/>
    <w:tmpl w:val="749AA2C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8">
    <w:nsid w:val="7D155D43"/>
    <w:multiLevelType w:val="hybridMultilevel"/>
    <w:tmpl w:val="7F3A4A64"/>
    <w:lvl w:ilvl="0" w:tplc="6FE8A392">
      <w:start w:val="1"/>
      <w:numFmt w:val="taiwaneseCountingThousand"/>
      <w:lvlText w:val="(%1)"/>
      <w:lvlJc w:val="left"/>
      <w:pPr>
        <w:ind w:left="840" w:hanging="36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9">
    <w:nsid w:val="7E0565CA"/>
    <w:multiLevelType w:val="hybridMultilevel"/>
    <w:tmpl w:val="376EFF80"/>
    <w:lvl w:ilvl="0" w:tplc="C53E6FD4">
      <w:start w:val="1"/>
      <w:numFmt w:val="taiwaneseCountingThousand"/>
      <w:lvlText w:val="（%1）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num w:numId="1">
    <w:abstractNumId w:val="33"/>
  </w:num>
  <w:num w:numId="2">
    <w:abstractNumId w:val="27"/>
  </w:num>
  <w:num w:numId="3">
    <w:abstractNumId w:val="2"/>
  </w:num>
  <w:num w:numId="4">
    <w:abstractNumId w:val="12"/>
  </w:num>
  <w:num w:numId="5">
    <w:abstractNumId w:val="22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8"/>
  </w:num>
  <w:num w:numId="10">
    <w:abstractNumId w:val="20"/>
  </w:num>
  <w:num w:numId="11">
    <w:abstractNumId w:val="32"/>
  </w:num>
  <w:num w:numId="12">
    <w:abstractNumId w:val="29"/>
  </w:num>
  <w:num w:numId="13">
    <w:abstractNumId w:val="34"/>
  </w:num>
  <w:num w:numId="14">
    <w:abstractNumId w:val="35"/>
  </w:num>
  <w:num w:numId="15">
    <w:abstractNumId w:val="5"/>
  </w:num>
  <w:num w:numId="16">
    <w:abstractNumId w:val="23"/>
  </w:num>
  <w:num w:numId="17">
    <w:abstractNumId w:val="47"/>
  </w:num>
  <w:num w:numId="18">
    <w:abstractNumId w:val="37"/>
  </w:num>
  <w:num w:numId="19">
    <w:abstractNumId w:val="46"/>
  </w:num>
  <w:num w:numId="20">
    <w:abstractNumId w:val="10"/>
  </w:num>
  <w:num w:numId="21">
    <w:abstractNumId w:val="39"/>
  </w:num>
  <w:num w:numId="22">
    <w:abstractNumId w:val="43"/>
  </w:num>
  <w:num w:numId="23">
    <w:abstractNumId w:val="19"/>
  </w:num>
  <w:num w:numId="24">
    <w:abstractNumId w:val="42"/>
  </w:num>
  <w:num w:numId="25">
    <w:abstractNumId w:val="30"/>
  </w:num>
  <w:num w:numId="26">
    <w:abstractNumId w:val="31"/>
  </w:num>
  <w:num w:numId="27">
    <w:abstractNumId w:val="15"/>
  </w:num>
  <w:num w:numId="28">
    <w:abstractNumId w:val="41"/>
  </w:num>
  <w:num w:numId="29">
    <w:abstractNumId w:val="26"/>
  </w:num>
  <w:num w:numId="30">
    <w:abstractNumId w:val="4"/>
  </w:num>
  <w:num w:numId="31">
    <w:abstractNumId w:val="49"/>
  </w:num>
  <w:num w:numId="32">
    <w:abstractNumId w:val="6"/>
  </w:num>
  <w:num w:numId="33">
    <w:abstractNumId w:val="24"/>
  </w:num>
  <w:num w:numId="34">
    <w:abstractNumId w:val="16"/>
  </w:num>
  <w:num w:numId="35">
    <w:abstractNumId w:val="17"/>
  </w:num>
  <w:num w:numId="36">
    <w:abstractNumId w:val="0"/>
  </w:num>
  <w:num w:numId="37">
    <w:abstractNumId w:val="40"/>
  </w:num>
  <w:num w:numId="38">
    <w:abstractNumId w:val="21"/>
  </w:num>
  <w:num w:numId="39">
    <w:abstractNumId w:val="38"/>
  </w:num>
  <w:num w:numId="40">
    <w:abstractNumId w:val="3"/>
  </w:num>
  <w:num w:numId="41">
    <w:abstractNumId w:val="9"/>
  </w:num>
  <w:num w:numId="42">
    <w:abstractNumId w:val="11"/>
  </w:num>
  <w:num w:numId="43">
    <w:abstractNumId w:val="25"/>
  </w:num>
  <w:num w:numId="44">
    <w:abstractNumId w:val="7"/>
  </w:num>
  <w:num w:numId="45">
    <w:abstractNumId w:val="36"/>
  </w:num>
  <w:num w:numId="46">
    <w:abstractNumId w:val="44"/>
  </w:num>
  <w:num w:numId="47">
    <w:abstractNumId w:val="1"/>
  </w:num>
  <w:num w:numId="48">
    <w:abstractNumId w:val="18"/>
  </w:num>
  <w:num w:numId="49">
    <w:abstractNumId w:val="48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6B"/>
    <w:rsid w:val="00095517"/>
    <w:rsid w:val="000C4745"/>
    <w:rsid w:val="000D6D7A"/>
    <w:rsid w:val="00121802"/>
    <w:rsid w:val="00124BF2"/>
    <w:rsid w:val="00132829"/>
    <w:rsid w:val="0016481B"/>
    <w:rsid w:val="001669F6"/>
    <w:rsid w:val="002033BA"/>
    <w:rsid w:val="00237B1B"/>
    <w:rsid w:val="0028346F"/>
    <w:rsid w:val="00291F4F"/>
    <w:rsid w:val="002B3CB4"/>
    <w:rsid w:val="002F5119"/>
    <w:rsid w:val="00333E1C"/>
    <w:rsid w:val="003E05E6"/>
    <w:rsid w:val="00405502"/>
    <w:rsid w:val="0044250C"/>
    <w:rsid w:val="004666AF"/>
    <w:rsid w:val="004D0774"/>
    <w:rsid w:val="004F501F"/>
    <w:rsid w:val="005B1454"/>
    <w:rsid w:val="0062535B"/>
    <w:rsid w:val="006F66D2"/>
    <w:rsid w:val="00712E94"/>
    <w:rsid w:val="007279DA"/>
    <w:rsid w:val="0075458D"/>
    <w:rsid w:val="00791E36"/>
    <w:rsid w:val="007C1B7C"/>
    <w:rsid w:val="007E3B7A"/>
    <w:rsid w:val="00805788"/>
    <w:rsid w:val="0084367F"/>
    <w:rsid w:val="00852ACB"/>
    <w:rsid w:val="00882155"/>
    <w:rsid w:val="00891C2B"/>
    <w:rsid w:val="00897594"/>
    <w:rsid w:val="008B0A5F"/>
    <w:rsid w:val="008C41A6"/>
    <w:rsid w:val="008D4B37"/>
    <w:rsid w:val="00903FB7"/>
    <w:rsid w:val="00963480"/>
    <w:rsid w:val="009D587F"/>
    <w:rsid w:val="009D6366"/>
    <w:rsid w:val="009E7A6B"/>
    <w:rsid w:val="009F0305"/>
    <w:rsid w:val="00AC1CF1"/>
    <w:rsid w:val="00B35EA2"/>
    <w:rsid w:val="00C71C27"/>
    <w:rsid w:val="00CC175D"/>
    <w:rsid w:val="00D07A85"/>
    <w:rsid w:val="00D4514C"/>
    <w:rsid w:val="00D459E5"/>
    <w:rsid w:val="00D65157"/>
    <w:rsid w:val="00E779D2"/>
    <w:rsid w:val="00E872EE"/>
    <w:rsid w:val="00E96E6D"/>
    <w:rsid w:val="00EB2D45"/>
    <w:rsid w:val="00EC0487"/>
    <w:rsid w:val="00F67D34"/>
    <w:rsid w:val="00F73DB2"/>
    <w:rsid w:val="00F8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2033BA"/>
    <w:pPr>
      <w:numPr>
        <w:numId w:val="6"/>
      </w:numPr>
      <w:ind w:left="0" w:firstLine="0"/>
    </w:pPr>
    <w:rPr>
      <w:rFonts w:ascii="Times New Roman" w:eastAsia="新細明體" w:hAnsi="Times New Roman" w:cs="Times New Roman"/>
      <w:noProof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B0A5F"/>
    <w:pPr>
      <w:ind w:leftChars="200" w:left="480"/>
    </w:pPr>
  </w:style>
  <w:style w:type="character" w:styleId="a4">
    <w:name w:val="Hyperlink"/>
    <w:basedOn w:val="a0"/>
    <w:uiPriority w:val="99"/>
    <w:unhideWhenUsed/>
    <w:rsid w:val="009D58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B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77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ndNoteBibliography">
    <w:name w:val="EndNote Bibliography"/>
    <w:basedOn w:val="a"/>
    <w:rsid w:val="002033BA"/>
    <w:pPr>
      <w:numPr>
        <w:numId w:val="6"/>
      </w:numPr>
      <w:ind w:left="0" w:firstLine="0"/>
    </w:pPr>
    <w:rPr>
      <w:rFonts w:ascii="Times New Roman" w:eastAsia="新細明體" w:hAnsi="Times New Roman" w:cs="Times New Roman"/>
      <w:noProof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8B0A5F"/>
    <w:pPr>
      <w:ind w:leftChars="200" w:left="480"/>
    </w:pPr>
  </w:style>
  <w:style w:type="character" w:styleId="a4">
    <w:name w:val="Hyperlink"/>
    <w:basedOn w:val="a0"/>
    <w:uiPriority w:val="99"/>
    <w:unhideWhenUsed/>
    <w:rsid w:val="009D58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4B3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4B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4B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D0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0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8AC2C7A-5F06-4ECA-A00F-FA43A423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450</Words>
  <Characters>2567</Characters>
  <Application>Microsoft Office Word</Application>
  <DocSecurity>0</DocSecurity>
  <Lines>21</Lines>
  <Paragraphs>6</Paragraphs>
  <ScaleCrop>false</ScaleCrop>
  <Company>ndmctsgh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王櫻如</dc:creator>
  <cp:lastModifiedBy>HPHE</cp:lastModifiedBy>
  <cp:revision>5</cp:revision>
  <cp:lastPrinted>2016-04-29T07:26:00Z</cp:lastPrinted>
  <dcterms:created xsi:type="dcterms:W3CDTF">2016-05-03T04:12:00Z</dcterms:created>
  <dcterms:modified xsi:type="dcterms:W3CDTF">2016-05-19T06:49:00Z</dcterms:modified>
</cp:coreProperties>
</file>